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0D37B" w14:textId="126641D7" w:rsidR="005A3AF6" w:rsidRDefault="00FB1A21" w:rsidP="00BC174C">
      <w:pPr>
        <w:pStyle w:val="Tijeloteksta"/>
        <w:tabs>
          <w:tab w:val="left" w:pos="7899"/>
        </w:tabs>
        <w:spacing w:before="76"/>
        <w:ind w:right="137"/>
        <w:jc w:val="both"/>
      </w:pPr>
      <w:r>
        <w:t>Na temelju članka</w:t>
      </w:r>
      <w:r>
        <w:rPr>
          <w:spacing w:val="40"/>
        </w:rPr>
        <w:t xml:space="preserve"> </w:t>
      </w:r>
      <w:r>
        <w:t xml:space="preserve">78. stavka 1. Zakona o komunalnom gospodarstvu („Narodne novine“ broj: 68/18, 110/18 </w:t>
      </w:r>
      <w:r w:rsidR="0020294B">
        <w:t xml:space="preserve">, </w:t>
      </w:r>
      <w:r>
        <w:t>32/20</w:t>
      </w:r>
      <w:r w:rsidR="0020294B">
        <w:t xml:space="preserve"> i 145/2</w:t>
      </w:r>
      <w:r w:rsidR="007A3D29">
        <w:t>4</w:t>
      </w:r>
      <w:r>
        <w:t>)</w:t>
      </w:r>
      <w:r w:rsidR="00B325FB">
        <w:t xml:space="preserve"> </w:t>
      </w:r>
      <w:r>
        <w:t>i članka 51. Statuta Grada</w:t>
      </w:r>
      <w:r>
        <w:rPr>
          <w:spacing w:val="40"/>
        </w:rPr>
        <w:t xml:space="preserve"> </w:t>
      </w:r>
      <w:r>
        <w:t>Drniš („Službeni glasnik Grada Drniša“ broj: 2/21 i 2/22), Gradsko vijeće Grada Drniša na</w:t>
      </w:r>
      <w:r w:rsidR="00B325FB">
        <w:t xml:space="preserve">   </w:t>
      </w:r>
      <w:r>
        <w:rPr>
          <w:spacing w:val="40"/>
        </w:rPr>
        <w:t xml:space="preserve"> </w:t>
      </w:r>
      <w:r>
        <w:t>sjedni</w:t>
      </w:r>
      <w:r w:rsidR="00B325FB">
        <w:t xml:space="preserve">ci održanoj  dana             </w:t>
      </w:r>
      <w:r>
        <w:t>202</w:t>
      </w:r>
      <w:r w:rsidR="00B325FB">
        <w:t xml:space="preserve">5 </w:t>
      </w:r>
      <w:r>
        <w:rPr>
          <w:spacing w:val="-15"/>
        </w:rPr>
        <w:t xml:space="preserve"> </w:t>
      </w:r>
      <w:r>
        <w:t>godine, d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n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s</w:t>
      </w:r>
      <w:r>
        <w:rPr>
          <w:spacing w:val="40"/>
        </w:rPr>
        <w:t xml:space="preserve"> </w:t>
      </w:r>
      <w:r>
        <w:t>i:</w:t>
      </w:r>
    </w:p>
    <w:p w14:paraId="1FADF79E" w14:textId="77777777" w:rsidR="005A3AF6" w:rsidRDefault="005A3AF6">
      <w:pPr>
        <w:pStyle w:val="Tijeloteksta"/>
      </w:pPr>
    </w:p>
    <w:p w14:paraId="70012B62" w14:textId="77777777" w:rsidR="005A3AF6" w:rsidRDefault="005A3AF6">
      <w:pPr>
        <w:pStyle w:val="Tijeloteksta"/>
        <w:spacing w:before="1"/>
      </w:pPr>
    </w:p>
    <w:p w14:paraId="77EA3746" w14:textId="74CE1A8E" w:rsidR="005A3AF6" w:rsidRDefault="00FB1A21">
      <w:pPr>
        <w:pStyle w:val="Naslov1"/>
        <w:tabs>
          <w:tab w:val="left" w:pos="3120"/>
        </w:tabs>
        <w:ind w:left="2726"/>
      </w:pPr>
      <w:r>
        <w:rPr>
          <w:spacing w:val="-5"/>
        </w:rPr>
        <w:t>I</w:t>
      </w:r>
      <w:r w:rsidR="00B325FB">
        <w:rPr>
          <w:spacing w:val="-5"/>
        </w:rPr>
        <w:t>I</w:t>
      </w:r>
      <w:r>
        <w:rPr>
          <w:spacing w:val="-5"/>
        </w:rPr>
        <w:t>.</w:t>
      </w:r>
      <w:r>
        <w:tab/>
        <w:t>IZMJENU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DOPUNU</w:t>
      </w:r>
      <w:r>
        <w:rPr>
          <w:spacing w:val="58"/>
        </w:rPr>
        <w:t xml:space="preserve"> </w:t>
      </w:r>
      <w:r>
        <w:rPr>
          <w:spacing w:val="-2"/>
        </w:rPr>
        <w:t>ODLUKE</w:t>
      </w:r>
    </w:p>
    <w:p w14:paraId="6F576F30" w14:textId="77777777" w:rsidR="005A3AF6" w:rsidRDefault="00FB1A21">
      <w:pPr>
        <w:ind w:left="3220" w:right="3220"/>
        <w:jc w:val="center"/>
        <w:rPr>
          <w:b/>
          <w:sz w:val="24"/>
        </w:rPr>
      </w:pPr>
      <w:r>
        <w:rPr>
          <w:b/>
          <w:sz w:val="24"/>
        </w:rPr>
        <w:t>o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 xml:space="preserve">komunalnom </w:t>
      </w:r>
      <w:r>
        <w:rPr>
          <w:b/>
          <w:spacing w:val="-2"/>
          <w:sz w:val="24"/>
        </w:rPr>
        <w:t>doprinosu</w:t>
      </w:r>
    </w:p>
    <w:p w14:paraId="085180E6" w14:textId="77777777" w:rsidR="005A3AF6" w:rsidRDefault="005A3AF6">
      <w:pPr>
        <w:pStyle w:val="Tijeloteksta"/>
        <w:rPr>
          <w:b/>
        </w:rPr>
      </w:pPr>
    </w:p>
    <w:p w14:paraId="39CA9FCB" w14:textId="77777777" w:rsidR="005A3AF6" w:rsidRDefault="005A3AF6">
      <w:pPr>
        <w:pStyle w:val="Tijeloteksta"/>
        <w:rPr>
          <w:b/>
        </w:rPr>
      </w:pPr>
    </w:p>
    <w:p w14:paraId="2D60F6FA" w14:textId="77777777" w:rsidR="005A3AF6" w:rsidRDefault="00FB1A21">
      <w:pPr>
        <w:ind w:left="4183"/>
        <w:rPr>
          <w:b/>
          <w:sz w:val="24"/>
        </w:rPr>
      </w:pPr>
      <w:r>
        <w:rPr>
          <w:b/>
          <w:sz w:val="24"/>
        </w:rPr>
        <w:t>Članak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1.</w:t>
      </w:r>
    </w:p>
    <w:p w14:paraId="7BEFB28D" w14:textId="7C1E6F5B" w:rsidR="005A3AF6" w:rsidRDefault="00FB1A21">
      <w:pPr>
        <w:pStyle w:val="Tijeloteksta"/>
        <w:spacing w:before="1"/>
        <w:ind w:left="141" w:right="139" w:firstLine="839"/>
      </w:pPr>
      <w:r>
        <w:t>U Odluci o komunalnom doprinosu</w:t>
      </w:r>
      <w:r>
        <w:rPr>
          <w:spacing w:val="80"/>
        </w:rPr>
        <w:t xml:space="preserve"> </w:t>
      </w:r>
      <w:r>
        <w:t>na</w:t>
      </w:r>
      <w:r>
        <w:rPr>
          <w:spacing w:val="80"/>
        </w:rPr>
        <w:t xml:space="preserve"> </w:t>
      </w:r>
      <w:r>
        <w:t>području Grada Drniša ( „Službeni glasnik Grada Drniša“ broj: 1/19</w:t>
      </w:r>
      <w:r w:rsidR="00B325FB">
        <w:t xml:space="preserve">  i  5/22</w:t>
      </w:r>
      <w:r>
        <w:t xml:space="preserve"> ) članak 4. mijenja se i glasi:</w:t>
      </w:r>
    </w:p>
    <w:p w14:paraId="35A1D458" w14:textId="77777777" w:rsidR="005A3AF6" w:rsidRDefault="005A3AF6">
      <w:pPr>
        <w:pStyle w:val="Tijeloteksta"/>
      </w:pPr>
    </w:p>
    <w:p w14:paraId="1C5BF708" w14:textId="77777777" w:rsidR="005A3AF6" w:rsidRDefault="00FB1A21">
      <w:pPr>
        <w:pStyle w:val="Tijeloteksta"/>
        <w:ind w:left="141"/>
      </w:pPr>
      <w:r>
        <w:t>„</w:t>
      </w:r>
      <w:r>
        <w:rPr>
          <w:spacing w:val="-1"/>
        </w:rPr>
        <w:t xml:space="preserve"> </w:t>
      </w:r>
      <w:r>
        <w:t>Jedinična vrijednost komunalnog doprinosa</w:t>
      </w:r>
      <w:r>
        <w:rPr>
          <w:spacing w:val="-1"/>
        </w:rPr>
        <w:t xml:space="preserve"> </w:t>
      </w:r>
      <w:r>
        <w:t>određuje</w:t>
      </w:r>
      <w:r>
        <w:rPr>
          <w:spacing w:val="-1"/>
        </w:rPr>
        <w:t xml:space="preserve"> </w:t>
      </w:r>
      <w:r>
        <w:t>se za</w:t>
      </w:r>
      <w:r>
        <w:rPr>
          <w:spacing w:val="-1"/>
        </w:rPr>
        <w:t xml:space="preserve"> </w:t>
      </w:r>
      <w:r>
        <w:t>pojedine</w:t>
      </w:r>
      <w:r>
        <w:rPr>
          <w:spacing w:val="-1"/>
        </w:rPr>
        <w:t xml:space="preserve"> </w:t>
      </w:r>
      <w:r>
        <w:t>zone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području Grada Drniša</w:t>
      </w:r>
      <w:r>
        <w:rPr>
          <w:spacing w:val="40"/>
        </w:rPr>
        <w:t xml:space="preserve"> </w:t>
      </w:r>
      <w:r>
        <w:t>kako slijedi:</w:t>
      </w:r>
    </w:p>
    <w:p w14:paraId="0F20B730" w14:textId="77777777" w:rsidR="005A3AF6" w:rsidRDefault="005A3AF6">
      <w:pPr>
        <w:pStyle w:val="Tijeloteksta"/>
        <w:spacing w:before="56"/>
        <w:rPr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3306"/>
        <w:gridCol w:w="2250"/>
        <w:gridCol w:w="1860"/>
        <w:gridCol w:w="1842"/>
      </w:tblGrid>
      <w:tr w:rsidR="005A3AF6" w14:paraId="33F24274" w14:textId="77777777" w:rsidTr="000A1B9C">
        <w:trPr>
          <w:trHeight w:val="408"/>
        </w:trPr>
        <w:tc>
          <w:tcPr>
            <w:tcW w:w="3306" w:type="dxa"/>
          </w:tcPr>
          <w:p w14:paraId="752078A3" w14:textId="77777777" w:rsidR="005A3AF6" w:rsidRDefault="00FB1A21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ZONA</w:t>
            </w:r>
          </w:p>
        </w:tc>
        <w:tc>
          <w:tcPr>
            <w:tcW w:w="2250" w:type="dxa"/>
          </w:tcPr>
          <w:p w14:paraId="79C0FB00" w14:textId="77777777" w:rsidR="005A3AF6" w:rsidRDefault="00FB1A21">
            <w:pPr>
              <w:pStyle w:val="TableParagraph"/>
              <w:spacing w:line="266" w:lineRule="exact"/>
              <w:ind w:left="270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I</w:t>
            </w:r>
          </w:p>
        </w:tc>
        <w:tc>
          <w:tcPr>
            <w:tcW w:w="1860" w:type="dxa"/>
          </w:tcPr>
          <w:p w14:paraId="7B6A1D84" w14:textId="77777777" w:rsidR="005A3AF6" w:rsidRDefault="00FB1A21">
            <w:pPr>
              <w:pStyle w:val="TableParagraph"/>
              <w:spacing w:line="266" w:lineRule="exact"/>
              <w:ind w:left="120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II</w:t>
            </w:r>
          </w:p>
        </w:tc>
        <w:tc>
          <w:tcPr>
            <w:tcW w:w="1842" w:type="dxa"/>
          </w:tcPr>
          <w:p w14:paraId="30FB4E29" w14:textId="77777777" w:rsidR="005A3AF6" w:rsidRDefault="00FB1A21">
            <w:pPr>
              <w:pStyle w:val="TableParagraph"/>
              <w:spacing w:line="266" w:lineRule="exact"/>
              <w:ind w:left="682"/>
              <w:rPr>
                <w:sz w:val="24"/>
              </w:rPr>
            </w:pPr>
            <w:r>
              <w:rPr>
                <w:spacing w:val="-5"/>
                <w:sz w:val="24"/>
              </w:rPr>
              <w:t>III</w:t>
            </w:r>
          </w:p>
        </w:tc>
      </w:tr>
      <w:tr w:rsidR="005A3AF6" w14:paraId="4065AAE8" w14:textId="77777777" w:rsidTr="000A1B9C">
        <w:trPr>
          <w:trHeight w:val="960"/>
        </w:trPr>
        <w:tc>
          <w:tcPr>
            <w:tcW w:w="3306" w:type="dxa"/>
          </w:tcPr>
          <w:p w14:paraId="6FEC2186" w14:textId="77777777" w:rsidR="005A3AF6" w:rsidRDefault="00FB1A21">
            <w:pPr>
              <w:pStyle w:val="TableParagraph"/>
              <w:spacing w:before="113" w:line="270" w:lineRule="atLeast"/>
              <w:ind w:left="50" w:right="1044"/>
              <w:rPr>
                <w:sz w:val="24"/>
              </w:rPr>
            </w:pPr>
            <w:r>
              <w:rPr>
                <w:sz w:val="24"/>
              </w:rPr>
              <w:t>Jedinična vrijednost komunalnog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doprinosa u eurima (EUR)</w:t>
            </w:r>
          </w:p>
        </w:tc>
        <w:tc>
          <w:tcPr>
            <w:tcW w:w="2250" w:type="dxa"/>
          </w:tcPr>
          <w:p w14:paraId="50CEF329" w14:textId="77777777" w:rsidR="005A3AF6" w:rsidRDefault="005A3AF6">
            <w:pPr>
              <w:pStyle w:val="TableParagraph"/>
              <w:rPr>
                <w:sz w:val="24"/>
              </w:rPr>
            </w:pPr>
          </w:p>
          <w:p w14:paraId="2E5351E0" w14:textId="77777777" w:rsidR="005A3AF6" w:rsidRDefault="005A3AF6">
            <w:pPr>
              <w:pStyle w:val="TableParagraph"/>
              <w:spacing w:before="132"/>
              <w:rPr>
                <w:sz w:val="24"/>
              </w:rPr>
            </w:pPr>
          </w:p>
          <w:p w14:paraId="4D78BA04" w14:textId="5785CB33" w:rsidR="005A3AF6" w:rsidRDefault="00B9436E" w:rsidP="00B9436E">
            <w:pPr>
              <w:pStyle w:val="TableParagraph"/>
              <w:spacing w:before="1" w:line="256" w:lineRule="exact"/>
              <w:ind w:left="27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           6,00                   </w:t>
            </w:r>
          </w:p>
        </w:tc>
        <w:tc>
          <w:tcPr>
            <w:tcW w:w="1860" w:type="dxa"/>
          </w:tcPr>
          <w:p w14:paraId="2B851BC6" w14:textId="77777777" w:rsidR="005A3AF6" w:rsidRDefault="005A3AF6">
            <w:pPr>
              <w:pStyle w:val="TableParagraph"/>
              <w:rPr>
                <w:sz w:val="24"/>
              </w:rPr>
            </w:pPr>
          </w:p>
          <w:p w14:paraId="2C87391F" w14:textId="77777777" w:rsidR="005A3AF6" w:rsidRDefault="005A3AF6">
            <w:pPr>
              <w:pStyle w:val="TableParagraph"/>
              <w:spacing w:before="132"/>
              <w:rPr>
                <w:sz w:val="24"/>
              </w:rPr>
            </w:pPr>
          </w:p>
          <w:p w14:paraId="5AA72AF5" w14:textId="778E71CA" w:rsidR="005A3AF6" w:rsidRDefault="00B9436E" w:rsidP="00B9436E">
            <w:pPr>
              <w:pStyle w:val="TableParagraph"/>
              <w:spacing w:before="1"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            </w:t>
            </w:r>
            <w:r w:rsidR="0057228F">
              <w:rPr>
                <w:spacing w:val="-4"/>
                <w:sz w:val="24"/>
              </w:rPr>
              <w:t>4</w:t>
            </w:r>
            <w:r>
              <w:rPr>
                <w:spacing w:val="-4"/>
                <w:sz w:val="24"/>
              </w:rPr>
              <w:t>,00</w:t>
            </w:r>
            <w:r w:rsidR="000A1B9C">
              <w:rPr>
                <w:spacing w:val="-4"/>
                <w:sz w:val="24"/>
              </w:rPr>
              <w:t xml:space="preserve">                   </w:t>
            </w:r>
          </w:p>
        </w:tc>
        <w:tc>
          <w:tcPr>
            <w:tcW w:w="1842" w:type="dxa"/>
          </w:tcPr>
          <w:p w14:paraId="5A27EAE5" w14:textId="77777777" w:rsidR="005A3AF6" w:rsidRDefault="005A3AF6">
            <w:pPr>
              <w:pStyle w:val="TableParagraph"/>
              <w:rPr>
                <w:sz w:val="24"/>
              </w:rPr>
            </w:pPr>
          </w:p>
          <w:p w14:paraId="486B30A0" w14:textId="77777777" w:rsidR="005A3AF6" w:rsidRDefault="005A3AF6">
            <w:pPr>
              <w:pStyle w:val="TableParagraph"/>
              <w:spacing w:before="132"/>
              <w:rPr>
                <w:sz w:val="24"/>
              </w:rPr>
            </w:pPr>
          </w:p>
          <w:p w14:paraId="5335575F" w14:textId="399D016F" w:rsidR="005A3AF6" w:rsidRDefault="0057228F">
            <w:pPr>
              <w:pStyle w:val="TableParagraph"/>
              <w:spacing w:before="1"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2</w:t>
            </w:r>
            <w:r w:rsidR="000A1B9C">
              <w:rPr>
                <w:sz w:val="24"/>
              </w:rPr>
              <w:t>,</w:t>
            </w:r>
            <w:r w:rsidR="00B9436E">
              <w:rPr>
                <w:sz w:val="24"/>
              </w:rPr>
              <w:t>00</w:t>
            </w:r>
          </w:p>
        </w:tc>
      </w:tr>
    </w:tbl>
    <w:p w14:paraId="175A667E" w14:textId="77777777" w:rsidR="005A3AF6" w:rsidRDefault="005A3AF6">
      <w:pPr>
        <w:pStyle w:val="Tijeloteksta"/>
      </w:pPr>
    </w:p>
    <w:p w14:paraId="67B0D361" w14:textId="27F5C807" w:rsidR="0057228F" w:rsidRDefault="000A5493">
      <w:pPr>
        <w:pStyle w:val="Tijeloteksta"/>
        <w:spacing w:before="2"/>
      </w:pPr>
      <w:r>
        <w:t xml:space="preserve">           Jedinična vrijednost komunalnog doprinosa</w:t>
      </w:r>
      <w:r w:rsidR="0057228F">
        <w:t xml:space="preserve"> </w:t>
      </w:r>
      <w:r>
        <w:t xml:space="preserve"> za pomoćne građevine  (građevine u funkciji osnovne zgrade </w:t>
      </w:r>
      <w:r w:rsidR="00A12853">
        <w:t>-</w:t>
      </w:r>
      <w:r>
        <w:t xml:space="preserve"> garaža, sušara</w:t>
      </w:r>
      <w:r w:rsidR="0057228F">
        <w:t>, vrtna kuća i sl., koje ima jednu etažu i čija tlocrtna površina nije veća od 50 m2) iznosi 50%  jedinične  vrijednosti po zonama.</w:t>
      </w:r>
    </w:p>
    <w:p w14:paraId="021AABF2" w14:textId="5718A64E" w:rsidR="005A3AF6" w:rsidRDefault="0057228F">
      <w:pPr>
        <w:pStyle w:val="Tijeloteksta"/>
        <w:spacing w:before="2"/>
      </w:pPr>
      <w:r>
        <w:t xml:space="preserve"> </w:t>
      </w:r>
    </w:p>
    <w:p w14:paraId="544310EB" w14:textId="29548851" w:rsidR="005A3AF6" w:rsidRDefault="000A1B9C">
      <w:pPr>
        <w:ind w:left="4217"/>
        <w:rPr>
          <w:b/>
          <w:sz w:val="24"/>
        </w:rPr>
      </w:pPr>
      <w:r>
        <w:rPr>
          <w:b/>
          <w:sz w:val="24"/>
        </w:rPr>
        <w:t>Članak 2.</w:t>
      </w:r>
    </w:p>
    <w:p w14:paraId="7BCA9B85" w14:textId="3BF95B99" w:rsidR="000A1B9C" w:rsidRDefault="000A1B9C" w:rsidP="000A1B9C">
      <w:pPr>
        <w:rPr>
          <w:b/>
          <w:sz w:val="24"/>
        </w:rPr>
      </w:pPr>
      <w:r>
        <w:rPr>
          <w:b/>
          <w:sz w:val="24"/>
        </w:rPr>
        <w:t xml:space="preserve"> </w:t>
      </w:r>
    </w:p>
    <w:p w14:paraId="57F19DAF" w14:textId="521C7187" w:rsidR="000A1B9C" w:rsidRDefault="00A07A47" w:rsidP="00926D2F">
      <w:pPr>
        <w:jc w:val="both"/>
        <w:rPr>
          <w:bCs/>
          <w:sz w:val="24"/>
        </w:rPr>
      </w:pPr>
      <w:r>
        <w:rPr>
          <w:bCs/>
          <w:sz w:val="24"/>
        </w:rPr>
        <w:t>članak 9. mijenja se i glasi:</w:t>
      </w:r>
    </w:p>
    <w:p w14:paraId="26290A0F" w14:textId="24424879" w:rsidR="00A07A47" w:rsidRDefault="00A07A47" w:rsidP="00926D2F">
      <w:pPr>
        <w:jc w:val="both"/>
        <w:rPr>
          <w:bCs/>
          <w:sz w:val="24"/>
        </w:rPr>
      </w:pPr>
      <w:r>
        <w:rPr>
          <w:bCs/>
          <w:sz w:val="24"/>
        </w:rPr>
        <w:t>„</w:t>
      </w:r>
      <w:r w:rsidR="00DE6933">
        <w:rPr>
          <w:bCs/>
          <w:sz w:val="24"/>
        </w:rPr>
        <w:t xml:space="preserve"> U  pojedinačnim slučajevima , na traženje investitora , Gradsko vijeće Grada Drniša na prijedlog  gradonačelnik ili sam gradonačelnik , u okviru iznosa o kojem prema </w:t>
      </w:r>
      <w:r w:rsidR="00412B37">
        <w:rPr>
          <w:bCs/>
          <w:sz w:val="24"/>
        </w:rPr>
        <w:t>Z</w:t>
      </w:r>
      <w:r w:rsidR="00DE6933">
        <w:rPr>
          <w:bCs/>
          <w:sz w:val="24"/>
        </w:rPr>
        <w:t>akonu mož</w:t>
      </w:r>
      <w:r w:rsidR="001F0B5D">
        <w:rPr>
          <w:bCs/>
          <w:sz w:val="24"/>
        </w:rPr>
        <w:t>e samostalno odlučivati</w:t>
      </w:r>
      <w:r w:rsidR="00DE6933">
        <w:rPr>
          <w:bCs/>
          <w:sz w:val="24"/>
        </w:rPr>
        <w:t xml:space="preserve">, donosi Zaključak  o potpunom oslobađanju </w:t>
      </w:r>
      <w:r w:rsidR="00412B37">
        <w:rPr>
          <w:bCs/>
          <w:sz w:val="24"/>
        </w:rPr>
        <w:t xml:space="preserve"> plaćanja </w:t>
      </w:r>
      <w:r>
        <w:rPr>
          <w:bCs/>
          <w:sz w:val="24"/>
        </w:rPr>
        <w:t xml:space="preserve">komunalnog doprinosa </w:t>
      </w:r>
      <w:r w:rsidR="00412B37">
        <w:rPr>
          <w:bCs/>
          <w:sz w:val="24"/>
        </w:rPr>
        <w:t xml:space="preserve">za </w:t>
      </w:r>
      <w:r>
        <w:rPr>
          <w:bCs/>
          <w:sz w:val="24"/>
        </w:rPr>
        <w:t xml:space="preserve"> građevine koje se  grade temeljem građevne dozvole  u sljedećim uvjetima:</w:t>
      </w:r>
    </w:p>
    <w:p w14:paraId="4E464929" w14:textId="75FFD26E" w:rsidR="00A07A47" w:rsidRDefault="00A07A47" w:rsidP="00926D2F">
      <w:pPr>
        <w:pStyle w:val="Odlomakpopisa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ako se gradi građevina čiju gradnju financira ili sufinancira Grad Drniš,</w:t>
      </w:r>
    </w:p>
    <w:p w14:paraId="1A76C342" w14:textId="2C04C50C" w:rsidR="00412B37" w:rsidRDefault="00412B37" w:rsidP="00926D2F">
      <w:pPr>
        <w:pStyle w:val="Odlomakpopisa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ako se radi o slučaju kada je  je Grad D</w:t>
      </w:r>
      <w:r w:rsidR="00926D2F">
        <w:rPr>
          <w:bCs/>
          <w:sz w:val="24"/>
        </w:rPr>
        <w:t xml:space="preserve">rniš </w:t>
      </w:r>
      <w:r>
        <w:rPr>
          <w:bCs/>
          <w:sz w:val="24"/>
        </w:rPr>
        <w:t xml:space="preserve"> po posebnim propisima dužan </w:t>
      </w:r>
      <w:r w:rsidR="00926D2F">
        <w:rPr>
          <w:bCs/>
          <w:sz w:val="24"/>
        </w:rPr>
        <w:t xml:space="preserve">osigurati i/ ili opremiti odgovarajuće građevinsko zemljište, </w:t>
      </w:r>
    </w:p>
    <w:p w14:paraId="1AEFCE3B" w14:textId="15108F82" w:rsidR="00A07A47" w:rsidRDefault="00A07A47" w:rsidP="00926D2F">
      <w:pPr>
        <w:pStyle w:val="Odlomakpopisa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 xml:space="preserve">ako je investitor trgovačko društvo ili ustanova kojih je </w:t>
      </w:r>
      <w:r w:rsidR="00926D2F">
        <w:rPr>
          <w:bCs/>
          <w:sz w:val="24"/>
        </w:rPr>
        <w:t>G</w:t>
      </w:r>
      <w:r>
        <w:rPr>
          <w:bCs/>
          <w:sz w:val="24"/>
        </w:rPr>
        <w:t xml:space="preserve">rad </w:t>
      </w:r>
      <w:r w:rsidR="004A3535">
        <w:rPr>
          <w:bCs/>
          <w:sz w:val="24"/>
        </w:rPr>
        <w:t>D</w:t>
      </w:r>
      <w:r>
        <w:rPr>
          <w:bCs/>
          <w:sz w:val="24"/>
        </w:rPr>
        <w:t xml:space="preserve">rniš osnivač ili suvlasnik, u slučaju </w:t>
      </w:r>
      <w:r w:rsidR="004A3535">
        <w:rPr>
          <w:bCs/>
          <w:sz w:val="24"/>
        </w:rPr>
        <w:t>građevine koja služi za obavljanje njihove djelatnosti,</w:t>
      </w:r>
    </w:p>
    <w:p w14:paraId="7D27917A" w14:textId="42F47E6A" w:rsidR="004A3535" w:rsidRDefault="004A3535" w:rsidP="00926D2F">
      <w:pPr>
        <w:pStyle w:val="Odlomakpopisa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ako investitor gradi građevinu komunalne infrastrukture,</w:t>
      </w:r>
    </w:p>
    <w:p w14:paraId="24022948" w14:textId="3CC170B0" w:rsidR="00A51639" w:rsidRDefault="004A3535" w:rsidP="00926D2F">
      <w:pPr>
        <w:pStyle w:val="Odlomakpopisa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 xml:space="preserve">ako </w:t>
      </w:r>
      <w:r w:rsidR="00926D2F">
        <w:rPr>
          <w:bCs/>
          <w:sz w:val="24"/>
        </w:rPr>
        <w:t xml:space="preserve">je investitor HRVI iz Domovinskog rata  kojem se osigurava stambeno zbrinjavanje prema odredbama </w:t>
      </w:r>
      <w:r w:rsidR="009C2A03">
        <w:rPr>
          <w:bCs/>
          <w:sz w:val="24"/>
        </w:rPr>
        <w:t>Z</w:t>
      </w:r>
      <w:r w:rsidR="00926D2F">
        <w:rPr>
          <w:bCs/>
          <w:sz w:val="24"/>
        </w:rPr>
        <w:t xml:space="preserve">akona o pravima hrvatskih branitelja iz </w:t>
      </w:r>
      <w:r w:rsidR="009C2A03">
        <w:rPr>
          <w:bCs/>
          <w:sz w:val="24"/>
        </w:rPr>
        <w:t>D</w:t>
      </w:r>
      <w:r w:rsidR="00926D2F">
        <w:rPr>
          <w:bCs/>
          <w:sz w:val="24"/>
        </w:rPr>
        <w:t xml:space="preserve">omovinskog rata i članovima njihovih obitelji, a u smislu navedenog </w:t>
      </w:r>
      <w:r w:rsidR="009C2A03">
        <w:rPr>
          <w:bCs/>
          <w:sz w:val="24"/>
        </w:rPr>
        <w:t>Z</w:t>
      </w:r>
      <w:r w:rsidR="00926D2F">
        <w:rPr>
          <w:bCs/>
          <w:sz w:val="24"/>
        </w:rPr>
        <w:t>akona nije zbrinut</w:t>
      </w:r>
      <w:r w:rsidR="009C2A03">
        <w:rPr>
          <w:bCs/>
          <w:sz w:val="24"/>
        </w:rPr>
        <w:t>.</w:t>
      </w:r>
    </w:p>
    <w:p w14:paraId="2D48F141" w14:textId="103DD548" w:rsidR="00A51639" w:rsidRDefault="00A51639" w:rsidP="00A51639">
      <w:pPr>
        <w:jc w:val="both"/>
        <w:rPr>
          <w:bCs/>
          <w:sz w:val="24"/>
        </w:rPr>
      </w:pPr>
    </w:p>
    <w:p w14:paraId="047381DE" w14:textId="77777777" w:rsidR="00A51639" w:rsidRDefault="00A51639" w:rsidP="00A51639">
      <w:pPr>
        <w:jc w:val="both"/>
        <w:rPr>
          <w:bCs/>
          <w:sz w:val="24"/>
        </w:rPr>
      </w:pPr>
    </w:p>
    <w:p w14:paraId="285D877D" w14:textId="15285B21" w:rsidR="00A51639" w:rsidRDefault="00A51639" w:rsidP="00A51639">
      <w:pPr>
        <w:jc w:val="center"/>
        <w:rPr>
          <w:b/>
          <w:sz w:val="24"/>
        </w:rPr>
      </w:pPr>
      <w:r w:rsidRPr="00A51639">
        <w:rPr>
          <w:b/>
          <w:sz w:val="24"/>
        </w:rPr>
        <w:t>Članak</w:t>
      </w:r>
      <w:r>
        <w:rPr>
          <w:b/>
          <w:sz w:val="24"/>
        </w:rPr>
        <w:t xml:space="preserve"> 3. </w:t>
      </w:r>
    </w:p>
    <w:p w14:paraId="5BCA2C11" w14:textId="39F8694C" w:rsidR="00A51639" w:rsidRDefault="00A51639" w:rsidP="00A51639">
      <w:pPr>
        <w:jc w:val="both"/>
        <w:rPr>
          <w:bCs/>
          <w:sz w:val="24"/>
        </w:rPr>
      </w:pPr>
      <w:r>
        <w:rPr>
          <w:bCs/>
          <w:sz w:val="24"/>
        </w:rPr>
        <w:t>Članak 10. mijenja se i glasi:</w:t>
      </w:r>
    </w:p>
    <w:p w14:paraId="7F0D8864" w14:textId="77777777" w:rsidR="005A1DC2" w:rsidRDefault="00A51639" w:rsidP="00A51639">
      <w:pPr>
        <w:jc w:val="both"/>
        <w:rPr>
          <w:bCs/>
          <w:sz w:val="24"/>
        </w:rPr>
      </w:pPr>
      <w:r>
        <w:rPr>
          <w:bCs/>
          <w:sz w:val="24"/>
        </w:rPr>
        <w:t>„</w:t>
      </w:r>
      <w:r w:rsidR="001611D6">
        <w:rPr>
          <w:bCs/>
          <w:sz w:val="24"/>
        </w:rPr>
        <w:t>U  pojedinačnim slučajevima , na traženje investitora , Gradsko vijeće Grada Drniša na prijedlog  gradonačelnik ili sam gradonačelnik , u okviru iznosa o kojem prema Zakonu može samostalno odlučivati , donosi Zaključak  o  oslobađanju  plaćanja komunalnog doprinosa</w:t>
      </w:r>
      <w:r w:rsidR="00531512">
        <w:rPr>
          <w:bCs/>
          <w:sz w:val="24"/>
        </w:rPr>
        <w:t>:</w:t>
      </w:r>
      <w:r w:rsidR="001611D6">
        <w:rPr>
          <w:bCs/>
          <w:sz w:val="24"/>
        </w:rPr>
        <w:t xml:space="preserve"> </w:t>
      </w:r>
    </w:p>
    <w:p w14:paraId="17658ACE" w14:textId="37D4F025" w:rsidR="00531512" w:rsidRDefault="001611D6" w:rsidP="00A51639">
      <w:pPr>
        <w:jc w:val="both"/>
        <w:rPr>
          <w:bCs/>
          <w:sz w:val="24"/>
        </w:rPr>
      </w:pPr>
      <w:r>
        <w:rPr>
          <w:bCs/>
          <w:sz w:val="24"/>
        </w:rPr>
        <w:t xml:space="preserve"> </w:t>
      </w:r>
    </w:p>
    <w:p w14:paraId="4B02B90A" w14:textId="0D86A1B2" w:rsidR="00A51639" w:rsidRPr="00531512" w:rsidRDefault="001611D6" w:rsidP="00531512">
      <w:pPr>
        <w:pStyle w:val="Odlomakpopisa"/>
        <w:numPr>
          <w:ilvl w:val="0"/>
          <w:numId w:val="5"/>
        </w:numPr>
        <w:jc w:val="both"/>
        <w:rPr>
          <w:bCs/>
          <w:sz w:val="24"/>
        </w:rPr>
      </w:pPr>
      <w:r w:rsidRPr="00531512">
        <w:rPr>
          <w:bCs/>
          <w:sz w:val="24"/>
        </w:rPr>
        <w:t>za  građevine koje se  grade temeljem građevne dozvole</w:t>
      </w:r>
      <w:r w:rsidR="00531512" w:rsidRPr="00531512">
        <w:rPr>
          <w:bCs/>
          <w:sz w:val="24"/>
        </w:rPr>
        <w:t xml:space="preserve"> u visini 50%  od ukupno utvrđenog iznosa komunalnog doprinos</w:t>
      </w:r>
      <w:r w:rsidRPr="00531512">
        <w:rPr>
          <w:bCs/>
          <w:sz w:val="24"/>
        </w:rPr>
        <w:t xml:space="preserve">   u sljedećim uvjetima</w:t>
      </w:r>
      <w:r w:rsidR="001D6186" w:rsidRPr="00531512">
        <w:rPr>
          <w:bCs/>
          <w:sz w:val="24"/>
        </w:rPr>
        <w:t xml:space="preserve"> ako</w:t>
      </w:r>
      <w:r w:rsidRPr="00531512">
        <w:rPr>
          <w:bCs/>
          <w:sz w:val="24"/>
        </w:rPr>
        <w:t>:</w:t>
      </w:r>
    </w:p>
    <w:p w14:paraId="10F1FAE8" w14:textId="77777777" w:rsidR="00531512" w:rsidRPr="00531512" w:rsidRDefault="00531512" w:rsidP="00531512">
      <w:pPr>
        <w:pStyle w:val="Odlomakpopisa"/>
        <w:ind w:left="780"/>
        <w:jc w:val="both"/>
        <w:rPr>
          <w:bCs/>
          <w:sz w:val="24"/>
        </w:rPr>
      </w:pPr>
    </w:p>
    <w:p w14:paraId="0A2E833C" w14:textId="77777777" w:rsidR="00531512" w:rsidRPr="00531512" w:rsidRDefault="00531512" w:rsidP="00531512">
      <w:pPr>
        <w:pStyle w:val="Odlomakpopisa"/>
        <w:ind w:left="780"/>
        <w:jc w:val="both"/>
        <w:rPr>
          <w:bCs/>
          <w:sz w:val="24"/>
        </w:rPr>
      </w:pPr>
    </w:p>
    <w:p w14:paraId="7DC2FFCE" w14:textId="2BA234A6" w:rsidR="00531512" w:rsidRPr="001D2317" w:rsidRDefault="001D6186" w:rsidP="00531512">
      <w:pPr>
        <w:pStyle w:val="Odlomakpopisa"/>
        <w:numPr>
          <w:ilvl w:val="0"/>
          <w:numId w:val="6"/>
        </w:numPr>
        <w:jc w:val="both"/>
        <w:rPr>
          <w:bCs/>
          <w:sz w:val="24"/>
        </w:rPr>
      </w:pPr>
      <w:r w:rsidRPr="001D2317">
        <w:rPr>
          <w:bCs/>
          <w:sz w:val="24"/>
        </w:rPr>
        <w:t xml:space="preserve">investitor gradi </w:t>
      </w:r>
      <w:r w:rsidR="00531512" w:rsidRPr="001D2317">
        <w:rPr>
          <w:bCs/>
          <w:sz w:val="24"/>
        </w:rPr>
        <w:t>građevine</w:t>
      </w:r>
      <w:r w:rsidR="005A1DC2" w:rsidRPr="001D2317">
        <w:rPr>
          <w:bCs/>
          <w:sz w:val="24"/>
        </w:rPr>
        <w:t xml:space="preserve"> u poslovnoj zoni </w:t>
      </w:r>
      <w:r w:rsidR="00531512" w:rsidRPr="001D2317">
        <w:rPr>
          <w:bCs/>
          <w:sz w:val="24"/>
        </w:rPr>
        <w:t xml:space="preserve"> u kojima će se obavljati  poslovnu djelatnost s ciljem otvaranja novih radnih mjesta</w:t>
      </w:r>
      <w:r w:rsidR="0020294B" w:rsidRPr="001D2317">
        <w:rPr>
          <w:bCs/>
          <w:sz w:val="24"/>
        </w:rPr>
        <w:t xml:space="preserve"> uz dostavu </w:t>
      </w:r>
      <w:r w:rsidR="001F0B5D">
        <w:rPr>
          <w:bCs/>
          <w:sz w:val="24"/>
        </w:rPr>
        <w:t>detaljno obrazloženog zaht</w:t>
      </w:r>
      <w:r w:rsidR="007A3D29">
        <w:rPr>
          <w:bCs/>
          <w:sz w:val="24"/>
        </w:rPr>
        <w:t>jeva i uz predočenje prihvatljivih dokaza.</w:t>
      </w:r>
    </w:p>
    <w:p w14:paraId="1499B69F" w14:textId="6AF05BE7" w:rsidR="005A1DC2" w:rsidRPr="005A1DC2" w:rsidRDefault="00531512" w:rsidP="00613551">
      <w:pPr>
        <w:pStyle w:val="Odlomakpopisa"/>
        <w:numPr>
          <w:ilvl w:val="0"/>
          <w:numId w:val="5"/>
        </w:numPr>
        <w:jc w:val="both"/>
        <w:rPr>
          <w:b/>
          <w:sz w:val="24"/>
        </w:rPr>
      </w:pPr>
      <w:r w:rsidRPr="00613551">
        <w:rPr>
          <w:bCs/>
          <w:sz w:val="24"/>
        </w:rPr>
        <w:t xml:space="preserve"> za stambene građevine-obiteljske </w:t>
      </w:r>
      <w:r w:rsidR="00613551" w:rsidRPr="00613551">
        <w:rPr>
          <w:bCs/>
          <w:sz w:val="24"/>
        </w:rPr>
        <w:t>kuće s jednom stambenom jedinicom   koje se grade, dograđuju ili nadograđuju</w:t>
      </w:r>
      <w:r w:rsidR="00360BF0">
        <w:rPr>
          <w:bCs/>
          <w:sz w:val="24"/>
        </w:rPr>
        <w:t xml:space="preserve"> temeljem građevne dozvole</w:t>
      </w:r>
      <w:r w:rsidR="00613551" w:rsidRPr="00613551">
        <w:rPr>
          <w:bCs/>
          <w:sz w:val="24"/>
        </w:rPr>
        <w:t>,  komunalni doprinos se oslobađa  u 100%  iznosu za obujam od 300</w:t>
      </w:r>
      <w:r w:rsidR="00613551">
        <w:rPr>
          <w:bCs/>
          <w:sz w:val="24"/>
        </w:rPr>
        <w:t xml:space="preserve"> </w:t>
      </w:r>
      <w:r w:rsidR="00613551" w:rsidRPr="00613551">
        <w:rPr>
          <w:bCs/>
          <w:sz w:val="24"/>
        </w:rPr>
        <w:t>m</w:t>
      </w:r>
      <w:r w:rsidR="00613551" w:rsidRPr="00613551">
        <w:rPr>
          <w:bCs/>
          <w:sz w:val="24"/>
          <w:vertAlign w:val="superscript"/>
        </w:rPr>
        <w:t>3</w:t>
      </w:r>
      <w:r w:rsidR="00613551" w:rsidRPr="00613551">
        <w:rPr>
          <w:bCs/>
          <w:sz w:val="24"/>
        </w:rPr>
        <w:t>,</w:t>
      </w:r>
      <w:r w:rsidR="00613551">
        <w:rPr>
          <w:bCs/>
          <w:sz w:val="24"/>
        </w:rPr>
        <w:t xml:space="preserve">  a preostali obujam obračunava se u punom </w:t>
      </w:r>
      <w:r w:rsidR="005A1DC2">
        <w:rPr>
          <w:bCs/>
          <w:sz w:val="24"/>
        </w:rPr>
        <w:t>jediničnom iznosu komunalnog doprinosa, ako:</w:t>
      </w:r>
    </w:p>
    <w:p w14:paraId="5E367647" w14:textId="6A646F69" w:rsidR="007D380F" w:rsidRPr="007D380F" w:rsidRDefault="007D380F" w:rsidP="005A1DC2">
      <w:pPr>
        <w:pStyle w:val="Odlomakpopisa"/>
        <w:numPr>
          <w:ilvl w:val="0"/>
          <w:numId w:val="7"/>
        </w:numPr>
        <w:jc w:val="both"/>
        <w:rPr>
          <w:b/>
          <w:sz w:val="24"/>
        </w:rPr>
      </w:pPr>
      <w:r>
        <w:rPr>
          <w:bCs/>
          <w:sz w:val="24"/>
        </w:rPr>
        <w:t xml:space="preserve">investitor gradi stambenu  građevinu </w:t>
      </w:r>
      <w:r w:rsidR="005A1DC2" w:rsidRPr="005A1DC2">
        <w:rPr>
          <w:bCs/>
          <w:sz w:val="24"/>
        </w:rPr>
        <w:t xml:space="preserve"> </w:t>
      </w:r>
      <w:r>
        <w:rPr>
          <w:bCs/>
          <w:sz w:val="24"/>
        </w:rPr>
        <w:t>na temelju prava trajnog stambenog zbrinjavanja  po Zakonu o područjima od posebne državne skrbi, Zakona o stambenom zbrinjavanju na potpomognutim područjima i Zakona o poticajnoj stanogradnji,</w:t>
      </w:r>
    </w:p>
    <w:p w14:paraId="10B8A29F" w14:textId="77777777" w:rsidR="0020294B" w:rsidRPr="0020294B" w:rsidRDefault="007D380F" w:rsidP="005A1DC2">
      <w:pPr>
        <w:pStyle w:val="Odlomakpopisa"/>
        <w:numPr>
          <w:ilvl w:val="0"/>
          <w:numId w:val="7"/>
        </w:numPr>
        <w:jc w:val="both"/>
        <w:rPr>
          <w:b/>
          <w:sz w:val="24"/>
        </w:rPr>
      </w:pPr>
      <w:r>
        <w:rPr>
          <w:bCs/>
          <w:sz w:val="24"/>
        </w:rPr>
        <w:t>investitor gradi  prvu stambenu građevinu</w:t>
      </w:r>
      <w:r w:rsidR="00E972B9">
        <w:rPr>
          <w:bCs/>
          <w:sz w:val="24"/>
        </w:rPr>
        <w:t xml:space="preserve"> – obiteljsku kuću s jednim stanom, za vlastite potrebe svoje uže obitelji uz uvjet: da svi članovi obitelji imaju prebivalište na području JLS,</w:t>
      </w:r>
      <w:r w:rsidR="002B3421">
        <w:rPr>
          <w:bCs/>
          <w:sz w:val="24"/>
        </w:rPr>
        <w:t>( uvjerenje o prebivalištu- MUP),</w:t>
      </w:r>
      <w:r w:rsidR="00E972B9">
        <w:rPr>
          <w:bCs/>
          <w:sz w:val="24"/>
        </w:rPr>
        <w:t xml:space="preserve"> </w:t>
      </w:r>
      <w:r w:rsidR="002B3421">
        <w:rPr>
          <w:bCs/>
          <w:sz w:val="24"/>
        </w:rPr>
        <w:t xml:space="preserve">dokaz da članovi obitelji nemaju stan ili kuću (Izvadak iz katastra i zemljišnika), dokaz da nisu prodali, darovali ili na neki drugi način otuđili kuću li stan </w:t>
      </w:r>
      <w:r w:rsidR="0020294B">
        <w:rPr>
          <w:bCs/>
          <w:sz w:val="24"/>
        </w:rPr>
        <w:t xml:space="preserve"> na području RH (</w:t>
      </w:r>
      <w:r w:rsidR="002B3421">
        <w:rPr>
          <w:bCs/>
          <w:sz w:val="24"/>
        </w:rPr>
        <w:t>potvrda Porezne uprave).</w:t>
      </w:r>
    </w:p>
    <w:p w14:paraId="3212F18A" w14:textId="77777777" w:rsidR="0020294B" w:rsidRDefault="0020294B" w:rsidP="0020294B">
      <w:pPr>
        <w:pStyle w:val="Odlomakpopisa"/>
        <w:ind w:left="780"/>
        <w:jc w:val="both"/>
        <w:rPr>
          <w:bCs/>
          <w:sz w:val="24"/>
        </w:rPr>
      </w:pPr>
    </w:p>
    <w:p w14:paraId="5CE745E5" w14:textId="67B1A393" w:rsidR="00DB4C0E" w:rsidRDefault="001D2317" w:rsidP="001D2317">
      <w:pPr>
        <w:pStyle w:val="Odlomakpopisa"/>
        <w:ind w:left="142"/>
        <w:jc w:val="both"/>
        <w:rPr>
          <w:bCs/>
          <w:sz w:val="24"/>
        </w:rPr>
      </w:pPr>
      <w:r>
        <w:rPr>
          <w:bCs/>
          <w:sz w:val="24"/>
        </w:rPr>
        <w:t xml:space="preserve">           </w:t>
      </w:r>
      <w:r w:rsidR="001F0B5D">
        <w:rPr>
          <w:bCs/>
          <w:sz w:val="24"/>
        </w:rPr>
        <w:t>Vlasnici građevne čestice</w:t>
      </w:r>
      <w:r w:rsidRPr="001D2317">
        <w:rPr>
          <w:bCs/>
          <w:sz w:val="24"/>
        </w:rPr>
        <w:t xml:space="preserve">, odnosno investitori  pokreću postupak za umanjenje komunalnog doprinosa </w:t>
      </w:r>
      <w:r w:rsidR="001F0B5D">
        <w:rPr>
          <w:bCs/>
          <w:sz w:val="24"/>
        </w:rPr>
        <w:t>podnošenjem zahtjeva nadležnom U</w:t>
      </w:r>
      <w:r w:rsidRPr="001D2317">
        <w:rPr>
          <w:bCs/>
          <w:sz w:val="24"/>
        </w:rPr>
        <w:t xml:space="preserve">pravnom odjelu u </w:t>
      </w:r>
      <w:r>
        <w:rPr>
          <w:bCs/>
          <w:sz w:val="24"/>
        </w:rPr>
        <w:t>G</w:t>
      </w:r>
      <w:r w:rsidRPr="001D2317">
        <w:rPr>
          <w:bCs/>
          <w:sz w:val="24"/>
        </w:rPr>
        <w:t xml:space="preserve">radu </w:t>
      </w:r>
      <w:r>
        <w:rPr>
          <w:bCs/>
          <w:sz w:val="24"/>
        </w:rPr>
        <w:t>D</w:t>
      </w:r>
      <w:r w:rsidRPr="001D2317">
        <w:rPr>
          <w:bCs/>
          <w:sz w:val="24"/>
        </w:rPr>
        <w:t>rnišu</w:t>
      </w:r>
      <w:r>
        <w:rPr>
          <w:bCs/>
          <w:sz w:val="24"/>
        </w:rPr>
        <w:t xml:space="preserve">, u roku 15. dana od dana izvršnosti rješenja o utvrđivanju komunalnog doprinosa, te u privitku zahtjeva prilažu </w:t>
      </w:r>
      <w:r w:rsidR="00A81F95">
        <w:rPr>
          <w:bCs/>
          <w:sz w:val="24"/>
        </w:rPr>
        <w:t xml:space="preserve"> </w:t>
      </w:r>
      <w:r w:rsidR="00DB4C0E">
        <w:rPr>
          <w:bCs/>
          <w:sz w:val="24"/>
        </w:rPr>
        <w:t>naprijed navedene dokaze</w:t>
      </w:r>
      <w:r w:rsidR="007A3D29">
        <w:rPr>
          <w:bCs/>
          <w:sz w:val="24"/>
        </w:rPr>
        <w:t xml:space="preserve"> uz potvrdu da su podmirene obveze prema Gradu Drnišu.</w:t>
      </w:r>
      <w:r w:rsidR="00DB4C0E">
        <w:rPr>
          <w:bCs/>
          <w:sz w:val="24"/>
        </w:rPr>
        <w:t>.</w:t>
      </w:r>
      <w:r w:rsidR="009E2FF5">
        <w:rPr>
          <w:bCs/>
          <w:sz w:val="24"/>
        </w:rPr>
        <w:t xml:space="preserve">  </w:t>
      </w:r>
    </w:p>
    <w:p w14:paraId="08A7A94C" w14:textId="77777777" w:rsidR="009E2FF5" w:rsidRDefault="009E2FF5" w:rsidP="001D2317">
      <w:pPr>
        <w:pStyle w:val="Odlomakpopisa"/>
        <w:ind w:left="142"/>
        <w:jc w:val="both"/>
        <w:rPr>
          <w:bCs/>
          <w:sz w:val="24"/>
        </w:rPr>
      </w:pPr>
    </w:p>
    <w:p w14:paraId="3097AA2F" w14:textId="6A2A42FB" w:rsidR="009E2FF5" w:rsidRPr="009E2FF5" w:rsidRDefault="009E2FF5" w:rsidP="009E2FF5">
      <w:pPr>
        <w:pStyle w:val="Odlomakpopisa"/>
        <w:ind w:left="142"/>
        <w:jc w:val="center"/>
        <w:rPr>
          <w:b/>
          <w:sz w:val="24"/>
        </w:rPr>
      </w:pPr>
      <w:r w:rsidRPr="009E2FF5">
        <w:rPr>
          <w:b/>
          <w:sz w:val="24"/>
        </w:rPr>
        <w:t>Članak 4.</w:t>
      </w:r>
    </w:p>
    <w:p w14:paraId="47AEA3F4" w14:textId="1B92C84B" w:rsidR="009E2FF5" w:rsidRPr="00A071BB" w:rsidRDefault="009E2FF5" w:rsidP="009E2FF5">
      <w:pPr>
        <w:pStyle w:val="Tijeloteksta"/>
        <w:spacing w:before="56"/>
        <w:jc w:val="both"/>
      </w:pPr>
      <w:r>
        <w:rPr>
          <w:bCs/>
        </w:rPr>
        <w:t xml:space="preserve">Iza članka 10. dodaje se članak 10.a </w:t>
      </w:r>
      <w:r w:rsidRPr="00A071BB">
        <w:t xml:space="preserve"> koji glasi:</w:t>
      </w:r>
    </w:p>
    <w:p w14:paraId="22A03BC0" w14:textId="36F4C340" w:rsidR="009E2FF5" w:rsidRDefault="009E2FF5" w:rsidP="009E2FF5">
      <w:pPr>
        <w:pStyle w:val="Tijeloteksta"/>
        <w:spacing w:before="56"/>
        <w:jc w:val="both"/>
      </w:pPr>
      <w:r w:rsidRPr="00A071BB">
        <w:t>„</w:t>
      </w:r>
      <w:r>
        <w:t xml:space="preserve"> Visina ukupnih iznosa-oslobađanja  od strane Grada Drniša  koja se mogu dodijeliti  poduzetnicima za nove investicije  ne smije premašiti  iznos  za trogodišnje razdoblje koji je definiran u važećem Programu de </w:t>
      </w:r>
      <w:proofErr w:type="spellStart"/>
      <w:r>
        <w:t>minimis</w:t>
      </w:r>
      <w:proofErr w:type="spellEnd"/>
      <w:r>
        <w:t xml:space="preserve"> potpora za nove investicije u poslovnim zonama Grada Drniša.“</w:t>
      </w:r>
    </w:p>
    <w:p w14:paraId="7820F124" w14:textId="77777777" w:rsidR="009E2FF5" w:rsidRDefault="009E2FF5" w:rsidP="009E2FF5">
      <w:pPr>
        <w:pStyle w:val="Tijeloteksta"/>
        <w:spacing w:before="56"/>
        <w:jc w:val="both"/>
      </w:pPr>
    </w:p>
    <w:p w14:paraId="6B210DD3" w14:textId="22CFDB5B" w:rsidR="008E402D" w:rsidRDefault="008E402D" w:rsidP="001D2317">
      <w:pPr>
        <w:pStyle w:val="Odlomakpopisa"/>
        <w:ind w:left="142"/>
        <w:jc w:val="both"/>
        <w:rPr>
          <w:bCs/>
          <w:sz w:val="24"/>
        </w:rPr>
      </w:pPr>
    </w:p>
    <w:p w14:paraId="4F85E856" w14:textId="1D2E7FF4" w:rsidR="008E402D" w:rsidRPr="008E402D" w:rsidRDefault="008E402D" w:rsidP="008E402D">
      <w:pPr>
        <w:pStyle w:val="Odlomakpopisa"/>
        <w:ind w:left="142"/>
        <w:jc w:val="center"/>
        <w:rPr>
          <w:b/>
          <w:sz w:val="24"/>
        </w:rPr>
      </w:pPr>
      <w:r>
        <w:rPr>
          <w:b/>
          <w:sz w:val="24"/>
        </w:rPr>
        <w:t>Članak</w:t>
      </w:r>
      <w:r w:rsidR="009E2FF5">
        <w:rPr>
          <w:b/>
          <w:sz w:val="24"/>
        </w:rPr>
        <w:t xml:space="preserve"> 5</w:t>
      </w:r>
      <w:r>
        <w:rPr>
          <w:b/>
          <w:sz w:val="24"/>
        </w:rPr>
        <w:t>.</w:t>
      </w:r>
    </w:p>
    <w:p w14:paraId="2BECF572" w14:textId="5358FEEE" w:rsidR="005A3AF6" w:rsidRDefault="00FB1A21" w:rsidP="00926D2F">
      <w:pPr>
        <w:pStyle w:val="Tijeloteksta"/>
        <w:ind w:left="141" w:right="138" w:firstLine="899"/>
        <w:jc w:val="both"/>
      </w:pPr>
      <w:r>
        <w:t>Ova</w:t>
      </w:r>
      <w:r w:rsidR="008E402D">
        <w:rPr>
          <w:spacing w:val="40"/>
        </w:rPr>
        <w:t xml:space="preserve"> </w:t>
      </w:r>
      <w:r>
        <w:t>I</w:t>
      </w:r>
      <w:r w:rsidR="008E402D">
        <w:t xml:space="preserve">I </w:t>
      </w:r>
      <w:r>
        <w:rPr>
          <w:spacing w:val="-5"/>
        </w:rPr>
        <w:t xml:space="preserve"> </w:t>
      </w:r>
      <w:r>
        <w:t>izmjena</w:t>
      </w:r>
      <w:r>
        <w:rPr>
          <w:spacing w:val="-3"/>
        </w:rPr>
        <w:t xml:space="preserve"> </w:t>
      </w:r>
      <w:r>
        <w:t>i dopuna</w:t>
      </w:r>
      <w:r>
        <w:rPr>
          <w:spacing w:val="-3"/>
        </w:rPr>
        <w:t xml:space="preserve"> </w:t>
      </w:r>
      <w:r>
        <w:t>Odluke</w:t>
      </w:r>
      <w:r>
        <w:rPr>
          <w:spacing w:val="40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komunalnom</w:t>
      </w:r>
      <w:r>
        <w:rPr>
          <w:spacing w:val="-2"/>
        </w:rPr>
        <w:t xml:space="preserve"> </w:t>
      </w:r>
      <w:r>
        <w:t>doprinosu</w:t>
      </w:r>
      <w:r>
        <w:rPr>
          <w:spacing w:val="-2"/>
        </w:rPr>
        <w:t xml:space="preserve"> </w:t>
      </w:r>
      <w:r>
        <w:t>stupa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snagu</w:t>
      </w:r>
      <w:r>
        <w:rPr>
          <w:spacing w:val="40"/>
        </w:rPr>
        <w:t xml:space="preserve"> </w:t>
      </w:r>
      <w:r>
        <w:t>osmog dana</w:t>
      </w:r>
      <w:r>
        <w:rPr>
          <w:spacing w:val="40"/>
        </w:rPr>
        <w:t xml:space="preserve"> </w:t>
      </w:r>
      <w:r>
        <w:t>od dana</w:t>
      </w:r>
      <w:r>
        <w:rPr>
          <w:spacing w:val="80"/>
        </w:rPr>
        <w:t xml:space="preserve"> </w:t>
      </w:r>
      <w:r>
        <w:t>objave u „Službenom glasniku Grada Drniša“.</w:t>
      </w:r>
    </w:p>
    <w:p w14:paraId="3C90DA60" w14:textId="77777777" w:rsidR="005A3AF6" w:rsidRDefault="005A3AF6" w:rsidP="00926D2F">
      <w:pPr>
        <w:pStyle w:val="Tijeloteksta"/>
        <w:jc w:val="both"/>
      </w:pPr>
    </w:p>
    <w:p w14:paraId="1C16650D" w14:textId="77777777" w:rsidR="005A3AF6" w:rsidRDefault="005A3AF6" w:rsidP="00926D2F">
      <w:pPr>
        <w:pStyle w:val="Tijeloteksta"/>
        <w:jc w:val="both"/>
      </w:pPr>
    </w:p>
    <w:p w14:paraId="222F64D6" w14:textId="64D09F21" w:rsidR="005A3AF6" w:rsidRDefault="00FB1A21" w:rsidP="00926D2F">
      <w:pPr>
        <w:pStyle w:val="Naslov1"/>
        <w:ind w:left="141" w:right="6644"/>
        <w:jc w:val="both"/>
      </w:pPr>
      <w:r>
        <w:t xml:space="preserve">KLASA: 363-02/19-20/5 </w:t>
      </w:r>
      <w:r w:rsidR="001F0B5D">
        <w:rPr>
          <w:spacing w:val="-2"/>
        </w:rPr>
        <w:t>URBROJ:</w:t>
      </w:r>
      <w:r w:rsidR="004F6248">
        <w:rPr>
          <w:spacing w:val="-2"/>
        </w:rPr>
        <w:t xml:space="preserve"> </w:t>
      </w:r>
      <w:bookmarkStart w:id="0" w:name="_GoBack"/>
      <w:bookmarkEnd w:id="0"/>
      <w:r w:rsidR="001F0B5D">
        <w:rPr>
          <w:spacing w:val="-2"/>
        </w:rPr>
        <w:t>2182-</w:t>
      </w:r>
      <w:r>
        <w:rPr>
          <w:spacing w:val="-2"/>
        </w:rPr>
        <w:t>6-2</w:t>
      </w:r>
      <w:r w:rsidR="00E972B9">
        <w:rPr>
          <w:spacing w:val="-2"/>
        </w:rPr>
        <w:t>5</w:t>
      </w:r>
      <w:r>
        <w:rPr>
          <w:spacing w:val="-2"/>
        </w:rPr>
        <w:t>-</w:t>
      </w:r>
      <w:r>
        <w:rPr>
          <w:spacing w:val="-7"/>
        </w:rPr>
        <w:t>0</w:t>
      </w:r>
      <w:r w:rsidR="00E972B9">
        <w:rPr>
          <w:spacing w:val="-7"/>
        </w:rPr>
        <w:t>3</w:t>
      </w:r>
    </w:p>
    <w:p w14:paraId="0F3C39AA" w14:textId="40B1171E" w:rsidR="005A3AF6" w:rsidRDefault="00FB1A21" w:rsidP="00926D2F">
      <w:pPr>
        <w:tabs>
          <w:tab w:val="left" w:pos="2214"/>
        </w:tabs>
        <w:ind w:left="141"/>
        <w:jc w:val="both"/>
        <w:rPr>
          <w:b/>
          <w:sz w:val="24"/>
        </w:rPr>
      </w:pPr>
      <w:r>
        <w:rPr>
          <w:b/>
          <w:spacing w:val="-2"/>
          <w:sz w:val="24"/>
        </w:rPr>
        <w:t>Drniš,</w:t>
      </w:r>
      <w:r>
        <w:rPr>
          <w:b/>
          <w:sz w:val="24"/>
        </w:rPr>
        <w:tab/>
        <w:t>202</w:t>
      </w:r>
      <w:r w:rsidR="00E972B9">
        <w:rPr>
          <w:b/>
          <w:sz w:val="24"/>
        </w:rPr>
        <w:t>5</w:t>
      </w:r>
      <w:r w:rsidR="004F6248">
        <w:rPr>
          <w:b/>
          <w:sz w:val="24"/>
        </w:rPr>
        <w:t>.</w:t>
      </w:r>
      <w:r>
        <w:rPr>
          <w:b/>
          <w:spacing w:val="-2"/>
          <w:sz w:val="24"/>
        </w:rPr>
        <w:t xml:space="preserve"> </w:t>
      </w:r>
      <w:r w:rsidR="001F0B5D">
        <w:rPr>
          <w:b/>
          <w:spacing w:val="-4"/>
          <w:sz w:val="24"/>
        </w:rPr>
        <w:t>godine</w:t>
      </w:r>
    </w:p>
    <w:p w14:paraId="147CF305" w14:textId="77777777" w:rsidR="005A3AF6" w:rsidRDefault="005A3AF6" w:rsidP="00926D2F">
      <w:pPr>
        <w:pStyle w:val="Tijeloteksta"/>
        <w:jc w:val="both"/>
        <w:rPr>
          <w:b/>
        </w:rPr>
      </w:pPr>
    </w:p>
    <w:p w14:paraId="1883CC81" w14:textId="77777777" w:rsidR="005A3AF6" w:rsidRDefault="00FB1A21" w:rsidP="00E972B9">
      <w:pPr>
        <w:pStyle w:val="Naslov1"/>
        <w:ind w:right="3219"/>
        <w:jc w:val="center"/>
      </w:pPr>
      <w:r>
        <w:t>GRADSKO</w:t>
      </w:r>
      <w:r>
        <w:rPr>
          <w:spacing w:val="-15"/>
        </w:rPr>
        <w:t xml:space="preserve"> </w:t>
      </w:r>
      <w:r>
        <w:t>VIJEĆE GRADA DRNIŠA</w:t>
      </w:r>
    </w:p>
    <w:p w14:paraId="1349217F" w14:textId="77777777" w:rsidR="005A3AF6" w:rsidRDefault="005A3AF6" w:rsidP="00926D2F">
      <w:pPr>
        <w:pStyle w:val="Tijeloteksta"/>
        <w:jc w:val="both"/>
        <w:rPr>
          <w:b/>
        </w:rPr>
      </w:pPr>
    </w:p>
    <w:p w14:paraId="7796B430" w14:textId="77777777" w:rsidR="005A3AF6" w:rsidRDefault="005A3AF6" w:rsidP="00926D2F">
      <w:pPr>
        <w:pStyle w:val="Tijeloteksta"/>
        <w:spacing w:before="1"/>
        <w:jc w:val="both"/>
        <w:rPr>
          <w:b/>
        </w:rPr>
      </w:pPr>
    </w:p>
    <w:p w14:paraId="6B8B9856" w14:textId="13A140CD" w:rsidR="005A3AF6" w:rsidRDefault="004F0CCC" w:rsidP="004F0CCC">
      <w:pPr>
        <w:ind w:right="1177"/>
        <w:jc w:val="center"/>
        <w:rPr>
          <w:b/>
          <w:sz w:val="24"/>
        </w:rPr>
      </w:pPr>
      <w:r>
        <w:rPr>
          <w:b/>
          <w:spacing w:val="-2"/>
          <w:sz w:val="24"/>
        </w:rPr>
        <w:t xml:space="preserve">                                                                                                     </w:t>
      </w:r>
      <w:r w:rsidR="00FB1A21">
        <w:rPr>
          <w:b/>
          <w:spacing w:val="-2"/>
          <w:sz w:val="24"/>
        </w:rPr>
        <w:t>PREDSJEDNIK:</w:t>
      </w:r>
    </w:p>
    <w:p w14:paraId="656001AB" w14:textId="31CD34E4" w:rsidR="005A3AF6" w:rsidRDefault="008E402D">
      <w:pPr>
        <w:pStyle w:val="Tijeloteksta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</w:p>
    <w:p w14:paraId="5AD07FBE" w14:textId="3A6D13D4" w:rsidR="008E402D" w:rsidRDefault="008E402D">
      <w:pPr>
        <w:pStyle w:val="Tijeloteksta"/>
        <w:rPr>
          <w:b/>
        </w:rPr>
      </w:pPr>
      <w:r>
        <w:rPr>
          <w:b/>
        </w:rPr>
        <w:t xml:space="preserve">                                                                                                       Majdi Pamuković, prof.</w:t>
      </w:r>
    </w:p>
    <w:p w14:paraId="67FFD8DD" w14:textId="3EB79E79" w:rsidR="005A3AF6" w:rsidRDefault="00E972B9">
      <w:pPr>
        <w:rPr>
          <w:b/>
          <w:sz w:val="24"/>
        </w:rPr>
        <w:sectPr w:rsidR="005A3AF6">
          <w:type w:val="continuous"/>
          <w:pgSz w:w="11910" w:h="16840"/>
          <w:pgMar w:top="1320" w:right="1275" w:bottom="280" w:left="1275" w:header="720" w:footer="720" w:gutter="0"/>
          <w:cols w:space="720"/>
        </w:sectPr>
      </w:pPr>
      <w:r>
        <w:rPr>
          <w:b/>
          <w:sz w:val="24"/>
        </w:rPr>
        <w:t xml:space="preserve">                                                                                         </w:t>
      </w:r>
    </w:p>
    <w:p w14:paraId="27406428" w14:textId="77777777" w:rsidR="005A3AF6" w:rsidRDefault="00FB1A21">
      <w:pPr>
        <w:pStyle w:val="Naslov1"/>
        <w:ind w:right="3219"/>
        <w:jc w:val="center"/>
      </w:pPr>
      <w:r>
        <w:rPr>
          <w:spacing w:val="-2"/>
        </w:rPr>
        <w:lastRenderedPageBreak/>
        <w:t>OBRAZLOŽENJE</w:t>
      </w:r>
    </w:p>
    <w:p w14:paraId="6C4F09DD" w14:textId="77777777" w:rsidR="005A3AF6" w:rsidRDefault="005A3AF6">
      <w:pPr>
        <w:pStyle w:val="Tijeloteksta"/>
        <w:rPr>
          <w:b/>
        </w:rPr>
      </w:pPr>
    </w:p>
    <w:p w14:paraId="2F3A55BD" w14:textId="77777777" w:rsidR="005A3AF6" w:rsidRDefault="005A3AF6">
      <w:pPr>
        <w:pStyle w:val="Tijeloteksta"/>
        <w:rPr>
          <w:b/>
        </w:rPr>
      </w:pPr>
    </w:p>
    <w:p w14:paraId="6BF80BD9" w14:textId="66F342C4" w:rsidR="005A3AF6" w:rsidRDefault="00FB1A21">
      <w:pPr>
        <w:tabs>
          <w:tab w:val="left" w:pos="4992"/>
        </w:tabs>
        <w:ind w:left="141" w:right="138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RAZLOZI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ZBOG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KOJIH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DONOSI</w:t>
      </w:r>
      <w:r>
        <w:rPr>
          <w:b/>
          <w:sz w:val="24"/>
        </w:rPr>
        <w:tab/>
      </w:r>
      <w:r w:rsidR="00BC174C">
        <w:rPr>
          <w:b/>
          <w:sz w:val="24"/>
        </w:rPr>
        <w:t>I</w:t>
      </w:r>
      <w:r>
        <w:rPr>
          <w:b/>
          <w:sz w:val="24"/>
        </w:rPr>
        <w:t>I.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DOPUNA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IZMJENA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ODLUKE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O KOMUNALNOM DOPRINOSU NA PODRUČJU GRADA DRNIŠA</w:t>
      </w:r>
    </w:p>
    <w:p w14:paraId="25EB7C05" w14:textId="77777777" w:rsidR="005A3AF6" w:rsidRDefault="005A3AF6">
      <w:pPr>
        <w:pStyle w:val="Tijeloteksta"/>
        <w:rPr>
          <w:b/>
        </w:rPr>
      </w:pPr>
    </w:p>
    <w:p w14:paraId="56018CC7" w14:textId="77777777" w:rsidR="005A3AF6" w:rsidRDefault="005A3AF6">
      <w:pPr>
        <w:pStyle w:val="Tijeloteksta"/>
        <w:spacing w:before="2"/>
        <w:rPr>
          <w:b/>
        </w:rPr>
      </w:pPr>
    </w:p>
    <w:p w14:paraId="14829AA4" w14:textId="67A8586C" w:rsidR="005A3AF6" w:rsidRDefault="00FB1A21">
      <w:pPr>
        <w:pStyle w:val="Tijeloteksta"/>
        <w:spacing w:line="235" w:lineRule="auto"/>
        <w:ind w:left="141" w:right="158" w:firstLine="420"/>
        <w:jc w:val="both"/>
      </w:pPr>
      <w:r>
        <w:t>Stupanja na snagu</w:t>
      </w:r>
      <w:r>
        <w:rPr>
          <w:spacing w:val="40"/>
        </w:rPr>
        <w:t xml:space="preserve"> </w:t>
      </w:r>
      <w:r>
        <w:t>Zakona o komunalnom gospodarstvu (ZKG) ("Narodne novine", broj 68/18, 110/18</w:t>
      </w:r>
      <w:r w:rsidR="00BC174C">
        <w:t>,</w:t>
      </w:r>
      <w:r>
        <w:t xml:space="preserve"> 32/20</w:t>
      </w:r>
      <w:r w:rsidR="00BC174C">
        <w:t xml:space="preserve"> i 145/2</w:t>
      </w:r>
      <w:r w:rsidR="000C5985">
        <w:t>4</w:t>
      </w:r>
      <w:r>
        <w:t>) Grad Drniš donio je Odluku o kom</w:t>
      </w:r>
      <w:r w:rsidR="00BC174C">
        <w:t xml:space="preserve">unalnom doprinosu </w:t>
      </w:r>
      <w:r>
        <w:t xml:space="preserve"> na području Grada Drniša ( “Službeni glasnik Grada Drniša “ br. 1/19)</w:t>
      </w:r>
      <w:r w:rsidR="00BC174C">
        <w:t xml:space="preserve"> </w:t>
      </w:r>
      <w:r>
        <w:t>u</w:t>
      </w:r>
      <w:r>
        <w:rPr>
          <w:spacing w:val="40"/>
        </w:rPr>
        <w:t xml:space="preserve"> </w:t>
      </w:r>
      <w:r>
        <w:t>kojoj su između ostalog definirane vrijednosti komunalnog doprinosa po pojedinim zonama u Gradu Drnišu.</w:t>
      </w:r>
    </w:p>
    <w:p w14:paraId="3438ACCC" w14:textId="34780124" w:rsidR="00BC174C" w:rsidRDefault="00FB1A21" w:rsidP="007B2A23">
      <w:pPr>
        <w:pStyle w:val="Tijeloteksta"/>
        <w:spacing w:line="235" w:lineRule="auto"/>
        <w:ind w:left="141" w:right="157" w:firstLine="360"/>
        <w:jc w:val="both"/>
      </w:pPr>
      <w:r>
        <w:t>Zakonom</w:t>
      </w:r>
      <w:r>
        <w:rPr>
          <w:spacing w:val="40"/>
        </w:rPr>
        <w:t xml:space="preserve"> </w:t>
      </w:r>
      <w:r>
        <w:t xml:space="preserve">o uvođenju eura kao službene valute u Republici Hrvatskoj(“Narodne novine” broj: 57/22) i Odlukom o objavi uvođenja eura kao službene valute u Republici Hrvatskoj (“Narodne novine” broj: 85/22) </w:t>
      </w:r>
      <w:r w:rsidR="00BC174C">
        <w:t xml:space="preserve"> donesena je Izmjena odluke o komunalnom doprinosu gdje je </w:t>
      </w:r>
      <w:r w:rsidR="00C8416E">
        <w:t xml:space="preserve">do tadašnja </w:t>
      </w:r>
      <w:r w:rsidR="00BC174C">
        <w:t>jedinična vrijednost komunalnog doprinosa iskazana u eurima ( “Službeni glasnik Grada Drniša “ br. 5/22)</w:t>
      </w:r>
      <w:r w:rsidR="007B2A23">
        <w:t>.</w:t>
      </w:r>
    </w:p>
    <w:p w14:paraId="1F89E8E3" w14:textId="1BB8B19C" w:rsidR="007B2A23" w:rsidRDefault="00C8416E" w:rsidP="00C8416E">
      <w:pPr>
        <w:pStyle w:val="Tijeloteksta"/>
        <w:spacing w:before="201" w:line="235" w:lineRule="auto"/>
        <w:ind w:left="141" w:right="156" w:firstLine="484"/>
        <w:jc w:val="both"/>
      </w:pPr>
      <w:r>
        <w:t>Sadašnji izvorni prihodi proračuna Grada Drniša tj. komunalni doprinos  s trenutačnom  jediničnom vrijednost komunalnog doprinosa po m</w:t>
      </w:r>
      <w:r>
        <w:rPr>
          <w:vertAlign w:val="superscript"/>
        </w:rPr>
        <w:t xml:space="preserve">3 </w:t>
      </w:r>
      <w:r>
        <w:t xml:space="preserve"> izgrađenog prostora  nije ni blizu dostatna za pokrivanje osnovnih  troškova izgradnje i opremanja  komunalne infrastrukture (   </w:t>
      </w:r>
      <w:r>
        <w:rPr>
          <w:spacing w:val="-16"/>
        </w:rPr>
        <w:t xml:space="preserve"> </w:t>
      </w:r>
      <w:r>
        <w:t>nerazvrstane</w:t>
      </w:r>
      <w:r>
        <w:rPr>
          <w:spacing w:val="-15"/>
        </w:rPr>
        <w:t xml:space="preserve"> </w:t>
      </w:r>
      <w:r>
        <w:t>ceste,</w:t>
      </w:r>
      <w:r>
        <w:rPr>
          <w:spacing w:val="-15"/>
        </w:rPr>
        <w:t xml:space="preserve">   </w:t>
      </w:r>
      <w:r>
        <w:t>javne</w:t>
      </w:r>
      <w:r>
        <w:rPr>
          <w:spacing w:val="-16"/>
        </w:rPr>
        <w:t xml:space="preserve"> </w:t>
      </w:r>
      <w:r>
        <w:t>povr</w:t>
      </w:r>
      <w:r w:rsidR="00000CBE">
        <w:t>šine, nogostupi, dječja igrališta</w:t>
      </w:r>
      <w:r>
        <w:t>,</w:t>
      </w:r>
      <w:r>
        <w:rPr>
          <w:spacing w:val="-15"/>
        </w:rPr>
        <w:t xml:space="preserve"> </w:t>
      </w:r>
      <w:r>
        <w:t>objekti</w:t>
      </w:r>
      <w:r>
        <w:rPr>
          <w:spacing w:val="-15"/>
        </w:rPr>
        <w:t xml:space="preserve"> </w:t>
      </w:r>
      <w:r>
        <w:t>javne</w:t>
      </w:r>
      <w:r>
        <w:rPr>
          <w:spacing w:val="-16"/>
        </w:rPr>
        <w:t xml:space="preserve"> </w:t>
      </w:r>
      <w:r>
        <w:t>namijene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sl.)</w:t>
      </w:r>
      <w:r>
        <w:rPr>
          <w:spacing w:val="-16"/>
        </w:rPr>
        <w:t xml:space="preserve"> .  Samim time dovodi se u pitanje i </w:t>
      </w:r>
      <w:r w:rsidR="00000CBE">
        <w:rPr>
          <w:spacing w:val="-16"/>
        </w:rPr>
        <w:t xml:space="preserve">ulaganje u </w:t>
      </w:r>
      <w:r>
        <w:rPr>
          <w:spacing w:val="-16"/>
        </w:rPr>
        <w:t xml:space="preserve"> infrastrukturno uređenje kako grada Drniša tako i svih ostalih naselja na području jedinice lokalne samouprave.</w:t>
      </w:r>
    </w:p>
    <w:p w14:paraId="7020B48F" w14:textId="5F722ABE" w:rsidR="005A3AF6" w:rsidRDefault="00FB1A21">
      <w:pPr>
        <w:pStyle w:val="Tijeloteksta"/>
        <w:spacing w:before="269" w:line="232" w:lineRule="auto"/>
        <w:ind w:left="141" w:right="138" w:firstLine="360"/>
        <w:jc w:val="both"/>
      </w:pPr>
      <w:r>
        <w:t>Sukladno navedenim zakonskim odredbama ovaj Upravni odjel pripremio je Nacrt</w:t>
      </w:r>
      <w:r>
        <w:rPr>
          <w:spacing w:val="40"/>
        </w:rPr>
        <w:t xml:space="preserve"> </w:t>
      </w:r>
      <w:r w:rsidR="00C8416E">
        <w:rPr>
          <w:spacing w:val="40"/>
        </w:rPr>
        <w:t>I</w:t>
      </w:r>
      <w:r>
        <w:t>I izmjene i dopune Odluke o komunalnom doprinosu na području Grada Drniša.</w:t>
      </w:r>
    </w:p>
    <w:p w14:paraId="31BBD659" w14:textId="77777777" w:rsidR="005A3AF6" w:rsidRDefault="005A3AF6">
      <w:pPr>
        <w:pStyle w:val="Tijeloteksta"/>
      </w:pPr>
    </w:p>
    <w:p w14:paraId="0E1AECAD" w14:textId="77777777" w:rsidR="005A3AF6" w:rsidRDefault="005A3AF6">
      <w:pPr>
        <w:pStyle w:val="Tijeloteksta"/>
        <w:spacing w:before="231"/>
      </w:pPr>
    </w:p>
    <w:p w14:paraId="39F6623E" w14:textId="77777777" w:rsidR="005A3AF6" w:rsidRDefault="00FB1A21">
      <w:pPr>
        <w:spacing w:line="259" w:lineRule="auto"/>
        <w:ind w:left="4222" w:hanging="420"/>
        <w:rPr>
          <w:b/>
          <w:sz w:val="24"/>
        </w:rPr>
      </w:pPr>
      <w:r>
        <w:rPr>
          <w:b/>
          <w:sz w:val="24"/>
        </w:rPr>
        <w:t>Upravni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odjel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prostorno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planiranje,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graditeljstvo komunalno gospodarstvo i zaštitu okoliša</w:t>
      </w:r>
    </w:p>
    <w:p w14:paraId="3C23C39C" w14:textId="77777777" w:rsidR="005A3AF6" w:rsidRDefault="005A3AF6">
      <w:pPr>
        <w:pStyle w:val="Tijeloteksta"/>
        <w:spacing w:before="13"/>
        <w:rPr>
          <w:b/>
        </w:rPr>
      </w:pPr>
    </w:p>
    <w:p w14:paraId="4313FE68" w14:textId="77777777" w:rsidR="005A3AF6" w:rsidRDefault="00FB1A21">
      <w:pPr>
        <w:pStyle w:val="Naslov1"/>
        <w:spacing w:before="1"/>
        <w:jc w:val="center"/>
      </w:pPr>
      <w:r>
        <w:rPr>
          <w:spacing w:val="-2"/>
        </w:rPr>
        <w:t>PROČELNIK</w:t>
      </w:r>
    </w:p>
    <w:p w14:paraId="7113A13D" w14:textId="77777777" w:rsidR="005A3AF6" w:rsidRDefault="00FB1A21">
      <w:pPr>
        <w:spacing w:before="276"/>
        <w:ind w:left="3220" w:right="10"/>
        <w:jc w:val="center"/>
        <w:rPr>
          <w:b/>
          <w:sz w:val="24"/>
        </w:rPr>
      </w:pPr>
      <w:r>
        <w:rPr>
          <w:b/>
          <w:sz w:val="24"/>
        </w:rPr>
        <w:t>Šime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Cigić,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dipl.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pacing w:val="-5"/>
          <w:sz w:val="24"/>
        </w:rPr>
        <w:t>ing</w:t>
      </w:r>
      <w:proofErr w:type="spellEnd"/>
    </w:p>
    <w:sectPr w:rsidR="005A3AF6">
      <w:pgSz w:w="11910" w:h="16840"/>
      <w:pgMar w:top="1920" w:right="127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8370A"/>
    <w:multiLevelType w:val="hybridMultilevel"/>
    <w:tmpl w:val="323A66FE"/>
    <w:lvl w:ilvl="0" w:tplc="E320C182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4D4101FE"/>
    <w:multiLevelType w:val="hybridMultilevel"/>
    <w:tmpl w:val="32FAFC74"/>
    <w:lvl w:ilvl="0" w:tplc="3DFEC228">
      <w:start w:val="1"/>
      <w:numFmt w:val="lowerLetter"/>
      <w:lvlText w:val="%1.)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1AD1FE8"/>
    <w:multiLevelType w:val="hybridMultilevel"/>
    <w:tmpl w:val="C840CC8A"/>
    <w:lvl w:ilvl="0" w:tplc="F0DCD4D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42E3611"/>
    <w:multiLevelType w:val="hybridMultilevel"/>
    <w:tmpl w:val="3FC6052C"/>
    <w:lvl w:ilvl="0" w:tplc="4ED0EED6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7273ED1"/>
    <w:multiLevelType w:val="hybridMultilevel"/>
    <w:tmpl w:val="EF38BAFC"/>
    <w:lvl w:ilvl="0" w:tplc="A2064ABE">
      <w:start w:val="1"/>
      <w:numFmt w:val="lowerLetter"/>
      <w:lvlText w:val="%1.)"/>
      <w:lvlJc w:val="left"/>
      <w:pPr>
        <w:ind w:left="7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C334E9D"/>
    <w:multiLevelType w:val="hybridMultilevel"/>
    <w:tmpl w:val="6DC0F5A2"/>
    <w:lvl w:ilvl="0" w:tplc="12CC74A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7BA959A9"/>
    <w:multiLevelType w:val="hybridMultilevel"/>
    <w:tmpl w:val="50089D30"/>
    <w:lvl w:ilvl="0" w:tplc="5E8ED7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AF6"/>
    <w:rsid w:val="00000CBE"/>
    <w:rsid w:val="000A1B9C"/>
    <w:rsid w:val="000A5493"/>
    <w:rsid w:val="000C5985"/>
    <w:rsid w:val="001611D6"/>
    <w:rsid w:val="0016772E"/>
    <w:rsid w:val="001D2317"/>
    <w:rsid w:val="001D6186"/>
    <w:rsid w:val="001F0B5D"/>
    <w:rsid w:val="0020294B"/>
    <w:rsid w:val="002211AF"/>
    <w:rsid w:val="002B3421"/>
    <w:rsid w:val="00360BF0"/>
    <w:rsid w:val="00412B37"/>
    <w:rsid w:val="00413C97"/>
    <w:rsid w:val="004A3535"/>
    <w:rsid w:val="004F0CCC"/>
    <w:rsid w:val="004F6248"/>
    <w:rsid w:val="00531512"/>
    <w:rsid w:val="0057228F"/>
    <w:rsid w:val="005A1DC2"/>
    <w:rsid w:val="005A3AF6"/>
    <w:rsid w:val="005B3F07"/>
    <w:rsid w:val="00613551"/>
    <w:rsid w:val="007A3D29"/>
    <w:rsid w:val="007B2A23"/>
    <w:rsid w:val="007D380F"/>
    <w:rsid w:val="007E793E"/>
    <w:rsid w:val="00844492"/>
    <w:rsid w:val="008E402D"/>
    <w:rsid w:val="00926D2F"/>
    <w:rsid w:val="00945FBA"/>
    <w:rsid w:val="009C2A03"/>
    <w:rsid w:val="009E20FC"/>
    <w:rsid w:val="009E2FF5"/>
    <w:rsid w:val="00A07A47"/>
    <w:rsid w:val="00A12853"/>
    <w:rsid w:val="00A51639"/>
    <w:rsid w:val="00A81F95"/>
    <w:rsid w:val="00B01187"/>
    <w:rsid w:val="00B1549F"/>
    <w:rsid w:val="00B325FB"/>
    <w:rsid w:val="00B61F71"/>
    <w:rsid w:val="00B9436E"/>
    <w:rsid w:val="00BC174C"/>
    <w:rsid w:val="00C8416E"/>
    <w:rsid w:val="00CB0BF0"/>
    <w:rsid w:val="00DB4C0E"/>
    <w:rsid w:val="00DB62F4"/>
    <w:rsid w:val="00DE5FEF"/>
    <w:rsid w:val="00DE6933"/>
    <w:rsid w:val="00DF2044"/>
    <w:rsid w:val="00E972B9"/>
    <w:rsid w:val="00F0565A"/>
    <w:rsid w:val="00F231BF"/>
    <w:rsid w:val="00FB1A21"/>
    <w:rsid w:val="00FC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8DEC"/>
  <w15:docId w15:val="{9608AD1F-BB4C-4475-951E-180DEFEBA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3220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4"/>
      <w:szCs w:val="24"/>
    </w:r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HRVATSKA</vt:lpstr>
    </vt:vector>
  </TitlesOfParts>
  <Company/>
  <LinksUpToDate>false</LinksUpToDate>
  <CharactersWithSpaces>6743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Galileo Galilei</dc:creator>
  <cp:lastModifiedBy>Marija Lovrić</cp:lastModifiedBy>
  <cp:revision>5</cp:revision>
  <dcterms:created xsi:type="dcterms:W3CDTF">2025-11-17T07:00:00Z</dcterms:created>
  <dcterms:modified xsi:type="dcterms:W3CDTF">2025-11-17T08:42:00Z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2022-11-16T00:00:00Z</vt:filetime>
  </property>
  <property fmtid="{D5CDD505-2E9C-101B-9397-08002B2CF9AE}" pid="3" name="Creator">
    <vt:lpwstr>Microsoft® Word za Microsoft 365</vt:lpwstr>
  </property>
  <property fmtid="{D5CDD505-2E9C-101B-9397-08002B2CF9AE}" pid="4" name="LastSaved">
    <vt:filetime>2025-09-11T00:00:00Z</vt:filetime>
  </property>
  <property fmtid="{D5CDD505-2E9C-101B-9397-08002B2CF9AE}" pid="5" name="Producer">
    <vt:lpwstr>Microsoft® Word za Microsoft 365</vt:lpwstr>
  </property>
</Properties>
</file>